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6A543">
      <w:pPr>
        <w:spacing w:after="240" w:line="560" w:lineRule="exact"/>
        <w:jc w:val="center"/>
      </w:pPr>
      <w:r>
        <w:rPr>
          <w:rFonts w:ascii="方正小标宋简体" w:hAnsi="方正小标宋简体" w:eastAsia="方正小标宋简体"/>
          <w:b/>
          <w:sz w:val="44"/>
        </w:rPr>
        <w:t>干部经济工作通用能力培训专栏课程目录</w:t>
      </w:r>
      <w:bookmarkStart w:id="0" w:name="_GoBack"/>
      <w:bookmarkEnd w:id="0"/>
    </w:p>
    <w:p w14:paraId="5A85A47E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835"/>
        <w:gridCol w:w="4203"/>
      </w:tblGrid>
      <w:tr w14:paraId="094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8" w:type="dxa"/>
            <w:vAlign w:val="center"/>
          </w:tcPr>
          <w:p w14:paraId="7CFAA714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32"/>
              </w:rPr>
              <w:t>序号</w:t>
            </w:r>
          </w:p>
        </w:tc>
        <w:tc>
          <w:tcPr>
            <w:tcW w:w="3835" w:type="dxa"/>
            <w:vAlign w:val="center"/>
          </w:tcPr>
          <w:p w14:paraId="45BD1569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32"/>
              </w:rPr>
              <w:t>课程名称</w:t>
            </w:r>
          </w:p>
        </w:tc>
        <w:tc>
          <w:tcPr>
            <w:tcW w:w="4203" w:type="dxa"/>
            <w:vAlign w:val="center"/>
          </w:tcPr>
          <w:p w14:paraId="1F33C1E9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32"/>
              </w:rPr>
              <w:t>主讲人</w:t>
            </w:r>
          </w:p>
        </w:tc>
      </w:tr>
      <w:tr w14:paraId="4563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" w:type="dxa"/>
            <w:vAlign w:val="center"/>
          </w:tcPr>
          <w:p w14:paraId="07AF6149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32"/>
              </w:rPr>
              <w:t>1</w:t>
            </w:r>
          </w:p>
        </w:tc>
        <w:tc>
          <w:tcPr>
            <w:tcW w:w="3835" w:type="dxa"/>
            <w:vAlign w:val="center"/>
          </w:tcPr>
          <w:p w14:paraId="1A068719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宏观经济运行的基本规律</w:t>
            </w:r>
          </w:p>
        </w:tc>
        <w:tc>
          <w:tcPr>
            <w:tcW w:w="4203" w:type="dxa"/>
            <w:vAlign w:val="center"/>
          </w:tcPr>
          <w:p w14:paraId="2625DCCC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吕伟（省委党校（省行政学院）经济学与经济管理教研部副主任）</w:t>
            </w:r>
          </w:p>
        </w:tc>
      </w:tr>
      <w:tr w14:paraId="1457D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" w:type="dxa"/>
            <w:vAlign w:val="center"/>
          </w:tcPr>
          <w:p w14:paraId="4AAE75E7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32"/>
              </w:rPr>
              <w:t>2</w:t>
            </w:r>
          </w:p>
        </w:tc>
        <w:tc>
          <w:tcPr>
            <w:tcW w:w="3835" w:type="dxa"/>
            <w:vAlign w:val="center"/>
          </w:tcPr>
          <w:p w14:paraId="1388A3B6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核心经济指标与统计分析</w:t>
            </w:r>
          </w:p>
        </w:tc>
        <w:tc>
          <w:tcPr>
            <w:tcW w:w="4203" w:type="dxa"/>
            <w:vAlign w:val="center"/>
          </w:tcPr>
          <w:p w14:paraId="5617D62C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谢高波（省统计局党组书记、局长）</w:t>
            </w:r>
          </w:p>
        </w:tc>
      </w:tr>
      <w:tr w14:paraId="7DA7C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" w:type="dxa"/>
            <w:vAlign w:val="center"/>
          </w:tcPr>
          <w:p w14:paraId="4889D784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32"/>
              </w:rPr>
              <w:t>3</w:t>
            </w:r>
          </w:p>
        </w:tc>
        <w:tc>
          <w:tcPr>
            <w:tcW w:w="3835" w:type="dxa"/>
            <w:vAlign w:val="center"/>
          </w:tcPr>
          <w:p w14:paraId="1F56064F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财政科学管理与运行逻辑</w:t>
            </w:r>
          </w:p>
        </w:tc>
        <w:tc>
          <w:tcPr>
            <w:tcW w:w="4203" w:type="dxa"/>
            <w:vAlign w:val="center"/>
          </w:tcPr>
          <w:p w14:paraId="18D09AA6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吴静（省财政厅党组书记、厅长）</w:t>
            </w:r>
          </w:p>
        </w:tc>
      </w:tr>
      <w:tr w14:paraId="543F6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" w:type="dxa"/>
            <w:vAlign w:val="center"/>
          </w:tcPr>
          <w:p w14:paraId="39DB452D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32"/>
              </w:rPr>
              <w:t>4</w:t>
            </w:r>
          </w:p>
        </w:tc>
        <w:tc>
          <w:tcPr>
            <w:tcW w:w="3835" w:type="dxa"/>
            <w:vAlign w:val="center"/>
          </w:tcPr>
          <w:p w14:paraId="6A95EE0C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现代化产业体系发展的逻辑与路径</w:t>
            </w:r>
          </w:p>
        </w:tc>
        <w:tc>
          <w:tcPr>
            <w:tcW w:w="4203" w:type="dxa"/>
            <w:vAlign w:val="center"/>
          </w:tcPr>
          <w:p w14:paraId="485E93B2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朱万奎（省经信厅党组书记、厅长）</w:t>
            </w:r>
          </w:p>
        </w:tc>
      </w:tr>
      <w:tr w14:paraId="42F8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" w:type="dxa"/>
            <w:vAlign w:val="center"/>
          </w:tcPr>
          <w:p w14:paraId="04966D9A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32"/>
              </w:rPr>
              <w:t>5</w:t>
            </w:r>
          </w:p>
        </w:tc>
        <w:tc>
          <w:tcPr>
            <w:tcW w:w="3835" w:type="dxa"/>
            <w:vAlign w:val="center"/>
          </w:tcPr>
          <w:p w14:paraId="4A5B5F11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扩大内需与促进消费提质扩容</w:t>
            </w:r>
          </w:p>
        </w:tc>
        <w:tc>
          <w:tcPr>
            <w:tcW w:w="4203" w:type="dxa"/>
            <w:vAlign w:val="center"/>
          </w:tcPr>
          <w:p w14:paraId="47726706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龙小红（省商务厅党组书记、厅长）</w:t>
            </w:r>
          </w:p>
        </w:tc>
      </w:tr>
      <w:tr w14:paraId="41FDA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" w:type="dxa"/>
            <w:vAlign w:val="center"/>
          </w:tcPr>
          <w:p w14:paraId="36B69EEC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32"/>
              </w:rPr>
              <w:t>6</w:t>
            </w:r>
          </w:p>
        </w:tc>
        <w:tc>
          <w:tcPr>
            <w:tcW w:w="3835" w:type="dxa"/>
            <w:vAlign w:val="center"/>
          </w:tcPr>
          <w:p w14:paraId="446D40B5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打造一流营商环境的核心内涵与实践要求</w:t>
            </w:r>
          </w:p>
        </w:tc>
        <w:tc>
          <w:tcPr>
            <w:tcW w:w="4203" w:type="dxa"/>
            <w:vAlign w:val="center"/>
          </w:tcPr>
          <w:p w14:paraId="09DB49DF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鲁宇清（省发改委党组书记、主任）</w:t>
            </w:r>
          </w:p>
        </w:tc>
      </w:tr>
      <w:tr w14:paraId="28FB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" w:type="dxa"/>
            <w:vAlign w:val="center"/>
          </w:tcPr>
          <w:p w14:paraId="56D3B409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32"/>
              </w:rPr>
              <w:t>7</w:t>
            </w:r>
          </w:p>
        </w:tc>
        <w:tc>
          <w:tcPr>
            <w:tcW w:w="3835" w:type="dxa"/>
            <w:vAlign w:val="center"/>
          </w:tcPr>
          <w:p w14:paraId="0999BA93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金融基础知识与风险防范</w:t>
            </w:r>
          </w:p>
        </w:tc>
        <w:tc>
          <w:tcPr>
            <w:tcW w:w="4203" w:type="dxa"/>
            <w:vAlign w:val="center"/>
          </w:tcPr>
          <w:p w14:paraId="0A5B0C6F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32"/>
              </w:rPr>
              <w:t>马骏（中国人民银行湖北省分行党委书记、行长）</w:t>
            </w:r>
          </w:p>
        </w:tc>
      </w:tr>
    </w:tbl>
    <w:p w14:paraId="40B0B6EE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5E5C81-A154-4F0A-A697-161A1ADBEF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D0CA08B7-1160-4178-9361-03BAADB1BD85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06D2A4A-AD9A-46DC-B276-3874CB056DE4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3BB6192-65B1-4700-B8B6-A32C80EC98EF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15EB208D-0A96-4A38-8232-9AA887BA63DC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C94EB6"/>
    <w:rsid w:val="794E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254</Characters>
  <Lines>0</Lines>
  <Paragraphs>0</Paragraphs>
  <TotalTime>4</TotalTime>
  <ScaleCrop>false</ScaleCrop>
  <LinksUpToDate>false</LinksUpToDate>
  <CharactersWithSpaces>254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Mr.Charles</cp:lastModifiedBy>
  <dcterms:modified xsi:type="dcterms:W3CDTF">2026-08-27T06:04:27Z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eyJoZGlkIjoiODViY2JkMjU3NGYzZTEwMzZmMGFkZWViYmNkYWU3NDIiLCJ1c2VySWQiOiIzODYzMTcwNjgifQ==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1BEAE6416AF34096A1AAE3E15CEEF109_12</vt:lpwstr>
  </property>
</Properties>
</file>