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BFFA627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/>
        <w:jc w:val="left"/>
        <w:textAlignment w:val="auto"/>
        <w:rPr>
          <w:rFonts w:hint="default" w:ascii="Times New Roman" w:hAnsi="Times New Roman" w:eastAsia="仿宋_GB2312" w:cs="Times New Roman"/>
          <w:b/>
          <w:bCs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default" w:ascii="Times New Roman" w:hAnsi="Times New Roman" w:eastAsia="仿宋_GB2312" w:cs="Times New Roman"/>
          <w:b/>
          <w:bCs/>
          <w:color w:val="000000"/>
          <w:kern w:val="0"/>
          <w:sz w:val="32"/>
          <w:szCs w:val="32"/>
          <w:lang w:val="en-US" w:eastAsia="zh-CN" w:bidi="ar"/>
        </w:rPr>
        <w:t>附件</w:t>
      </w:r>
      <w:r>
        <w:rPr>
          <w:rFonts w:hint="eastAsia" w:ascii="Times New Roman" w:hAnsi="Times New Roman" w:eastAsia="仿宋_GB2312" w:cs="Times New Roman"/>
          <w:b/>
          <w:bCs/>
          <w:color w:val="000000"/>
          <w:kern w:val="0"/>
          <w:sz w:val="32"/>
          <w:szCs w:val="32"/>
          <w:lang w:val="en-US" w:eastAsia="zh-CN" w:bidi="ar"/>
        </w:rPr>
        <w:t>1</w:t>
      </w:r>
    </w:p>
    <w:p w14:paraId="613F958E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/>
        <w:jc w:val="center"/>
        <w:textAlignment w:val="auto"/>
        <w:rPr>
          <w:rFonts w:hint="default" w:ascii="Times New Roman" w:hAnsi="Times New Roman" w:eastAsia="方正小标宋简体" w:cs="Times New Roman"/>
          <w:color w:val="000000"/>
          <w:kern w:val="0"/>
          <w:sz w:val="44"/>
          <w:szCs w:val="44"/>
          <w:lang w:val="en-US" w:eastAsia="zh-CN" w:bidi="ar"/>
        </w:rPr>
      </w:pPr>
      <w:r>
        <w:rPr>
          <w:rFonts w:hint="default" w:ascii="Times New Roman" w:hAnsi="Times New Roman" w:eastAsia="方正小标宋简体" w:cs="Times New Roman"/>
          <w:color w:val="000000"/>
          <w:kern w:val="0"/>
          <w:sz w:val="44"/>
          <w:szCs w:val="44"/>
          <w:lang w:val="en-US" w:eastAsia="zh-CN" w:bidi="ar"/>
        </w:rPr>
        <w:t>人工智能通识素养培训网上专题班</w:t>
      </w:r>
    </w:p>
    <w:p w14:paraId="4E1F7CBB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/>
        <w:jc w:val="center"/>
        <w:textAlignment w:val="auto"/>
        <w:rPr>
          <w:rFonts w:hint="default" w:ascii="Times New Roman" w:hAnsi="Times New Roman" w:eastAsia="方正小标宋简体" w:cs="Times New Roman"/>
          <w:color w:val="000000"/>
          <w:kern w:val="0"/>
          <w:sz w:val="44"/>
          <w:szCs w:val="44"/>
          <w:lang w:val="en-US" w:eastAsia="zh-CN" w:bidi="ar"/>
        </w:rPr>
      </w:pPr>
      <w:r>
        <w:rPr>
          <w:rFonts w:hint="default" w:ascii="Times New Roman" w:hAnsi="Times New Roman" w:eastAsia="方正小标宋简体" w:cs="Times New Roman"/>
          <w:color w:val="000000"/>
          <w:kern w:val="0"/>
          <w:sz w:val="44"/>
          <w:szCs w:val="44"/>
          <w:lang w:val="en-US" w:eastAsia="zh-CN" w:bidi="ar"/>
        </w:rPr>
        <w:t>课程目录</w:t>
      </w:r>
      <w:bookmarkStart w:id="0" w:name="_GoBack"/>
      <w:bookmarkEnd w:id="0"/>
    </w:p>
    <w:p w14:paraId="5BEF4C8D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/>
        <w:jc w:val="center"/>
        <w:textAlignment w:val="auto"/>
        <w:rPr>
          <w:rFonts w:hint="default" w:ascii="Times New Roman" w:hAnsi="Times New Roman" w:eastAsia="方正小标宋简体" w:cs="Times New Roman"/>
          <w:color w:val="000000"/>
          <w:kern w:val="0"/>
          <w:sz w:val="44"/>
          <w:szCs w:val="44"/>
          <w:lang w:val="en-US" w:eastAsia="zh-CN" w:bidi="ar"/>
        </w:rPr>
      </w:pPr>
    </w:p>
    <w:p w14:paraId="17791920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-360" w:leftChars="0" w:right="0" w:rightChars="0"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1.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把握人工智能技术路线产业路线 打造人工智能产业发展新高地</w:t>
      </w:r>
    </w:p>
    <w:p w14:paraId="1423233C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-360" w:leftChars="0" w:right="0" w:rightChars="0"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2.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人工智能的发展态势与竞争格局</w:t>
      </w:r>
    </w:p>
    <w:p w14:paraId="6CACD996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-360" w:leftChars="0" w:right="0" w:rightChars="0"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3.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人工智能的关键要素和核心技术</w:t>
      </w:r>
    </w:p>
    <w:p w14:paraId="67D3EDB0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-360" w:leftChars="0" w:right="0" w:rightChars="0"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4.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具身智能与产业变革</w:t>
      </w:r>
    </w:p>
    <w:p w14:paraId="53417E24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-360" w:leftChars="0" w:right="0" w:rightChars="0"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5.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人工智能改善民生福祉</w:t>
      </w:r>
    </w:p>
    <w:p w14:paraId="5EC736D9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-360" w:leftChars="0" w:right="0" w:rightChars="0"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6.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人工智能提升社会治理效能</w:t>
      </w:r>
    </w:p>
    <w:p w14:paraId="47367FBF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-360" w:leftChars="0" w:right="0" w:rightChars="0"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7.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推动人工智能健康长远发展</w:t>
      </w:r>
    </w:p>
    <w:p w14:paraId="55DF5AE4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-360" w:leftChars="0" w:right="0" w:rightChars="0"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8.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奋力谱写“十五五”时期湖北人工智能高质量发展新篇章</w:t>
      </w:r>
    </w:p>
    <w:p w14:paraId="3C46916A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50C9F308-94D6-45B3-9FFD-9FED00815ECB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2" w:fontKey="{D50C4113-3BD8-4187-954C-621A48FC1333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3" w:fontKey="{A36305F7-11B5-47AF-9626-198EDFE9FBBE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75A5D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2026-04-22T00:14:21Z</dcterms:created>
  <dc:creator>HP</dc:creator>
  <cp:lastModifiedBy>陈骏</cp:lastModifiedBy>
  <dcterms:modified xsi:type="dcterms:W3CDTF">2026-04-22T00:14:31Z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KSOTemplateDocerSaveRecord">
    <vt:lpwstr>eyJoZGlkIjoiOGZkZjlkOTBhY2Q2NDk5OWJhYjU1NDNjOGM1ZjkxZjUiLCJ1c2VySWQiOiIzODYzMTcwNjgifQ==</vt:lpwstr>
  </property>
  <property fmtid="{D5CDD505-2E9C-101B-9397-08002B2CF9AE}" pid="4" name="ICV">
    <vt:lpwstr>2BF04DC722144DA79596DAA1C9631E75_12</vt:lpwstr>
  </property>
</Properties>
</file>